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9344"/>
      </w:tblGrid>
      <w:tr w:rsidR="00212C88" w:rsidRPr="00212C88" w:rsidTr="00212C88">
        <w:trPr>
          <w:tblCellSpacing w:w="15" w:type="dxa"/>
        </w:trPr>
        <w:tc>
          <w:tcPr>
            <w:tcW w:w="0" w:type="auto"/>
            <w:shd w:val="clear" w:color="auto" w:fill="A41E1C"/>
            <w:vAlign w:val="center"/>
            <w:hideMark/>
          </w:tcPr>
          <w:p w:rsidR="00212C88" w:rsidRPr="00212C88" w:rsidRDefault="00212C88" w:rsidP="00212C88">
            <w:pPr>
              <w:spacing w:after="0" w:line="384" w:lineRule="auto"/>
              <w:ind w:right="975"/>
              <w:jc w:val="center"/>
              <w:outlineLvl w:val="3"/>
              <w:rPr>
                <w:rFonts w:ascii="Arial" w:eastAsia="Times New Roman" w:hAnsi="Arial" w:cs="Arial"/>
                <w:b/>
                <w:bCs/>
                <w:color w:val="FFE8BF"/>
                <w:sz w:val="36"/>
                <w:szCs w:val="36"/>
              </w:rPr>
            </w:pPr>
            <w:r w:rsidRPr="00212C88">
              <w:rPr>
                <w:rFonts w:ascii="Arial" w:eastAsia="Times New Roman" w:hAnsi="Arial" w:cs="Arial"/>
                <w:b/>
                <w:bCs/>
                <w:color w:val="FFE8BF"/>
                <w:sz w:val="36"/>
                <w:szCs w:val="36"/>
              </w:rPr>
              <w:t>PRAVILNIK</w:t>
            </w:r>
          </w:p>
          <w:p w:rsidR="00212C88" w:rsidRPr="00212C88" w:rsidRDefault="00212C88" w:rsidP="00212C88">
            <w:pPr>
              <w:spacing w:after="0" w:line="240" w:lineRule="auto"/>
              <w:ind w:right="975"/>
              <w:jc w:val="center"/>
              <w:outlineLvl w:val="3"/>
              <w:rPr>
                <w:rFonts w:ascii="Arial" w:eastAsia="Times New Roman" w:hAnsi="Arial" w:cs="Arial"/>
                <w:b/>
                <w:bCs/>
                <w:color w:val="FFFFFF"/>
                <w:sz w:val="34"/>
                <w:szCs w:val="34"/>
              </w:rPr>
            </w:pPr>
            <w:r w:rsidRPr="00212C88">
              <w:rPr>
                <w:rFonts w:ascii="Arial" w:eastAsia="Times New Roman" w:hAnsi="Arial" w:cs="Arial"/>
                <w:b/>
                <w:bCs/>
                <w:color w:val="FFFFFF"/>
                <w:sz w:val="34"/>
                <w:szCs w:val="34"/>
              </w:rPr>
              <w:t>O CARINSKIM OBELEŽJIMA</w:t>
            </w:r>
          </w:p>
          <w:p w:rsidR="00212C88" w:rsidRPr="00212C88" w:rsidRDefault="00212C88" w:rsidP="00212C88">
            <w:pPr>
              <w:shd w:val="clear" w:color="auto" w:fill="000000"/>
              <w:spacing w:before="100" w:beforeAutospacing="1" w:after="100" w:afterAutospacing="1" w:line="264" w:lineRule="auto"/>
              <w:jc w:val="center"/>
              <w:rPr>
                <w:rFonts w:ascii="Arial" w:eastAsia="Times New Roman" w:hAnsi="Arial" w:cs="Arial"/>
                <w:i/>
                <w:iCs/>
                <w:color w:val="FFE8BF"/>
                <w:sz w:val="26"/>
                <w:szCs w:val="26"/>
              </w:rPr>
            </w:pPr>
            <w:r w:rsidRPr="00212C88">
              <w:rPr>
                <w:rFonts w:ascii="Arial" w:eastAsia="Times New Roman" w:hAnsi="Arial" w:cs="Arial"/>
                <w:i/>
                <w:iCs/>
                <w:color w:val="FFE8BF"/>
                <w:sz w:val="26"/>
                <w:szCs w:val="26"/>
              </w:rPr>
              <w:t>("Sl. glasnik RS", br. 48/2019 i 43/2020)</w:t>
            </w:r>
          </w:p>
        </w:tc>
      </w:tr>
    </w:tbl>
    <w:p w:rsidR="00212C88" w:rsidRPr="00212C88" w:rsidRDefault="00212C88" w:rsidP="00212C88">
      <w:pPr>
        <w:spacing w:before="240" w:after="120" w:line="240" w:lineRule="auto"/>
        <w:jc w:val="center"/>
        <w:rPr>
          <w:rFonts w:ascii="Arial" w:eastAsia="Times New Roman" w:hAnsi="Arial" w:cs="Arial"/>
          <w:b/>
          <w:bCs/>
          <w:sz w:val="24"/>
          <w:szCs w:val="24"/>
        </w:rPr>
      </w:pPr>
      <w:bookmarkStart w:id="0" w:name="clan_1"/>
      <w:bookmarkEnd w:id="0"/>
      <w:r w:rsidRPr="00212C88">
        <w:rPr>
          <w:rFonts w:ascii="Arial" w:eastAsia="Times New Roman" w:hAnsi="Arial" w:cs="Arial"/>
          <w:b/>
          <w:bCs/>
          <w:sz w:val="24"/>
          <w:szCs w:val="24"/>
        </w:rPr>
        <w:t xml:space="preserve">Član 1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Ovim pravilnikom propisuju se vrsta i tip carinskih obeležja i način njihove upotrebe.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1" w:name="clan_2"/>
      <w:bookmarkEnd w:id="1"/>
      <w:r w:rsidRPr="00212C88">
        <w:rPr>
          <w:rFonts w:ascii="Arial" w:eastAsia="Times New Roman" w:hAnsi="Arial" w:cs="Arial"/>
          <w:b/>
          <w:bCs/>
          <w:sz w:val="24"/>
          <w:szCs w:val="24"/>
        </w:rPr>
        <w:t xml:space="preserve">Član 2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Carinska obeležja jesu carinska plomba, elektronski lokator GPS, otisci carinskog žiga ili carinskog pečata i nalepnica.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Ako se na carinsku robu ne mogu staviti carinska obeležja iz stava 1. ovog člana, carinsko obeležje jeste i opis robe (precizan opis robe iz deklaracije za postupak tranzita robe ili priloženih isprava, na osnovu kojeg je moguće lako utvrditi istovetnost kao i količinu i vrstu robe) overen od strane carinskog organa.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2" w:name="clan_3"/>
      <w:bookmarkEnd w:id="2"/>
      <w:r w:rsidRPr="00212C88">
        <w:rPr>
          <w:rFonts w:ascii="Arial" w:eastAsia="Times New Roman" w:hAnsi="Arial" w:cs="Arial"/>
          <w:b/>
          <w:bCs/>
          <w:sz w:val="24"/>
          <w:szCs w:val="24"/>
        </w:rPr>
        <w:t xml:space="preserve">Član 3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Carinska plomba, sastoji se od dela izrađenog od odgovarajućeg materijala (telo plombe) čije dimenzije nisu manje od 25 mm (dužina) x 12 mm (širina), kao i galvanizovane (nerđajuće) čelične žice ili sajle čiji prečnik nije manji od 1,5 mm, odnosno metalne trake čija širina nije manja od 10 mm, koja je pričvršćena u telo plombe i čija dužina izvan tela plombe iznosi najmanje 260 mm. U telo carinske plombe ugrađen je mehanizam koji obezbeđuje visok stepen sigurnosti bravljenja žice, sajle ili trake koja je sastavni deo carinske plombe.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Osnovne karakteristike i tehničke specifikacije carinske plombe iz stava 1. ovog člana, propisane su odredbom člana 324. Uredbe o carinskim postupcima i carinskim formalnostima ("Službeni glasnik RS", br. 39/19 i 8/20).</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3" w:name="clan_4"/>
      <w:bookmarkEnd w:id="3"/>
      <w:r w:rsidRPr="00212C88">
        <w:rPr>
          <w:rFonts w:ascii="Arial" w:eastAsia="Times New Roman" w:hAnsi="Arial" w:cs="Arial"/>
          <w:b/>
          <w:bCs/>
          <w:sz w:val="24"/>
          <w:szCs w:val="24"/>
        </w:rPr>
        <w:t xml:space="preserve">Član 4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je GPS uređaj sa integrisanim pristupom mreži mobilne telefonije (minimalno GPRS tipa) u kućištu za elektronsko obezbeđenje tovarnog prostora, sa omčom koja sprečava neovlašćeno otvaranje tovarnog prostora.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omogućava bezkontaktnu identifikaciju i automatsko praćenje transporta robe i/ili prevoznih sredstava prilikom uvoza, izvoza i tranzita na carinskom području Republike Srbije.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Svaki elektronski lokator ima jedinstveni identifikacioni broj.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Telo elektronskog lokatora može biti u različitim bojama i mora da ima utisnut naziv: "Uprava carina RS", koji se ne može izbrisati uobičajenim rukovanjem.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lastRenderedPageBreak/>
        <w:t xml:space="preserve">Elektronski lokator upotrebljava se pomoću softvera.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Softver objedinjuje rad svih elektronskih lokatora i operatora u sistemu, prikuplja, obrađuje, arhivira i dostavlja podatke o lokaciji, položaju, vrsti i količini robe koja se prati i o trasi puta kojom se roba kreće i kreira tražene izveštaje.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Softver se instalira na računare Uprave carina.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mora da ispunjava sledeća svojstva: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1) oblik i dimenzije elektronskog lokatora variraju zavisno od načina njihovog stavljanja, s tim da dimenzije moraju da budu takve da osiguraju lako očitavanje identifikacionih oznaka i lako zabravljivanje tovarnog prostora;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2) materijal od kog je izrađen lokator mora da bude otporan na lomljenje i da sprečava neopaženo falsifikovanje;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3) elektronski lokator mora da ima najmanje sledeće karakteristike: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(1) da je otporan za redovnu upotrebu,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(2) da se lako proverava i prepoznaje,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(3) da je izrađen tako da bilo koje lomljenje ili uklanjanje ostavlja tragove vidljive golim okom,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(4) da ima upisane identifikacione oznake,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(5) da je napravljen za višestruku upotrebu, na način koji će dozvoliti da se kod svakog ponovnog korišćenja može upisati jedinstvena identifikaciona oznaka, </w:t>
      </w:r>
    </w:p>
    <w:p w:rsidR="00212C88" w:rsidRPr="00212C88" w:rsidRDefault="00212C88" w:rsidP="00212C88">
      <w:pPr>
        <w:spacing w:before="100" w:beforeAutospacing="1" w:after="100" w:afterAutospacing="1" w:line="240" w:lineRule="auto"/>
        <w:ind w:left="992"/>
        <w:rPr>
          <w:rFonts w:ascii="Arial" w:eastAsia="Times New Roman" w:hAnsi="Arial" w:cs="Arial"/>
        </w:rPr>
      </w:pPr>
      <w:r w:rsidRPr="00212C88">
        <w:rPr>
          <w:rFonts w:ascii="Arial" w:eastAsia="Times New Roman" w:hAnsi="Arial" w:cs="Arial"/>
        </w:rPr>
        <w:t xml:space="preserve">(6) da obezbedi praćenje celokupnog transporta robe i/ili prevoznih sredstava na carinskom području Republike Srbije.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4" w:name="clan_5"/>
      <w:bookmarkEnd w:id="4"/>
      <w:r w:rsidRPr="00212C88">
        <w:rPr>
          <w:rFonts w:ascii="Arial" w:eastAsia="Times New Roman" w:hAnsi="Arial" w:cs="Arial"/>
          <w:b/>
          <w:bCs/>
          <w:sz w:val="24"/>
          <w:szCs w:val="24"/>
        </w:rPr>
        <w:t xml:space="preserve">Član 5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postavlja se isključivo na drumsko prevozno sredstvo kojim se vrši prevoz robe.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Roba koja se prevozi u postupku tranzita ne može se pustiti u tranzitni postupak dok nije osigurana njena istovetnost, stoga je obaveza polazne carinarnice da, pre puštanja robe u tranzitni postupak, na prevozno sredstvo postavi elektronski lokator.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Kada se tranzitni postupak sprovodi na osnovu Konvencije o zajedničkom tranzitnom postupku i TIR Konvencije, pored carinskih obeležja iz člana 3. ovog pravilnika (plomba), na prevozno sredstvo postavlja se i elektronski lokator.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lastRenderedPageBreak/>
        <w:t xml:space="preserve">Elektronski lokator postavlja se na drumska prevozna sredstva u pojednostavljenom postupku ovlašćenog pošiljaoca robe u tranzitu i u pojednostavljenom postupku ovlašćenog primaoca robe u tranzitu.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postavlja i skida isključivo ovlašćeni carinski službenik, u vreme predviđeno za obavljanje redovnih carinskih formalnosti.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postavlja se tako da neovlašćenim licima sprečava pristup prostoru u kome je smeštena roba i da omogućava pristup GPS signalima i signalima mreže mobilne telefonije.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neće se postavljati na drumska prevozna sredstva u pojednostavljenom postupku pri uvozu robe, kao ni na drumska prevozna sredstva u pojednostavljenom postupku pri izvozu robe (kućno carinjenje).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5" w:name="clan_6"/>
      <w:bookmarkEnd w:id="5"/>
      <w:r w:rsidRPr="00212C88">
        <w:rPr>
          <w:rFonts w:ascii="Arial" w:eastAsia="Times New Roman" w:hAnsi="Arial" w:cs="Arial"/>
          <w:b/>
          <w:bCs/>
          <w:sz w:val="24"/>
          <w:szCs w:val="24"/>
        </w:rPr>
        <w:t xml:space="preserve">Član 6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Očitavanje elektronskog lokatora vrši se ručnim uređajem bilo gde na terenu, i to: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1) obavezno - prilikom montaže na i demontaže sa prevoznog sredstva od strane carinskog službenika, s tim da se mora identifikovati i zabeležiti u sistemu;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2) povremeno - od strane drugog ovlašćenog carinskog službenika.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Očitavanjem elektronskog lokatora dobija se izveštaj o sadržini pošiljke prethodno unete u sistem, statusu elektronskog lokatora (ispravno, neispravno) i vremenu poslednjeg emitovanja signala elektronskog lokatora u sistemu.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Elektronski lokator treba da omogući: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1) praćenje robe u tranzitu između ulazne i izlazne granične carinarnice;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2) praćenje robe koja se izvozi od polazne do izlazne carinarnice;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3) praćenje robe koja se uvozi od ulazne do odredišne carinarnice.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6" w:name="clan_7"/>
      <w:bookmarkEnd w:id="6"/>
      <w:r w:rsidRPr="00212C88">
        <w:rPr>
          <w:rFonts w:ascii="Arial" w:eastAsia="Times New Roman" w:hAnsi="Arial" w:cs="Arial"/>
          <w:b/>
          <w:bCs/>
          <w:sz w:val="24"/>
          <w:szCs w:val="24"/>
        </w:rPr>
        <w:t xml:space="preserve">Član 7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Carinski žig je žig za vosak ili suvi žig.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Žig za vosak je od mesinga, okruglog oblika, prečnika 35 mm.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Suvi žig je od čelika, okruglog oblika, prečnika 35 mm.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Na carinskom žigu upisan je naziv: "Uprava carina Republike Srbije" i ispod njega naziv nadležne organizacione jedinice carinskog organa.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7" w:name="clan_8"/>
      <w:bookmarkEnd w:id="7"/>
      <w:r w:rsidRPr="00212C88">
        <w:rPr>
          <w:rFonts w:ascii="Arial" w:eastAsia="Times New Roman" w:hAnsi="Arial" w:cs="Arial"/>
          <w:b/>
          <w:bCs/>
          <w:sz w:val="24"/>
          <w:szCs w:val="24"/>
        </w:rPr>
        <w:t xml:space="preserve">Član 8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lastRenderedPageBreak/>
        <w:t xml:space="preserve">Carinski pečat je okruglog oblika, izrađuje se od gume, metala ili drugog odgovarajućeg materijala, prečnik pečata je 32 mm, a za carinarnice u kojima se tekst ispisuje na srpskom jeziku i jeziku nacionalnih manjina prečnik pečata je od 40-60 mm. U sredini pečata je grb Republike Srbije.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Tekst na pečatu ispisan je oko grba Republike Srbije u koncentričnim krugovima, ćiriličnim pismom - štampanim slovima, a u carinarnicama i jezikom nacionalnih manjina koji su u službenoj upotrebi.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U spoljnom krugu pečata ispisuje se naziv "REPUBLIKA SRBIJA", u prvom sledećem unutrašnjem krugu ispisuje se naziv organa "MINISTARSTVO FINANSIJA - UPRAVA CARINA".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8" w:name="clan_9"/>
      <w:bookmarkEnd w:id="8"/>
      <w:r w:rsidRPr="00212C88">
        <w:rPr>
          <w:rFonts w:ascii="Arial" w:eastAsia="Times New Roman" w:hAnsi="Arial" w:cs="Arial"/>
          <w:b/>
          <w:bCs/>
          <w:sz w:val="24"/>
          <w:szCs w:val="24"/>
        </w:rPr>
        <w:t xml:space="preserve">Član 9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Carinskim obeležjem, kao sredstvom za identifikaciju robe, obezbeđuje se istovetnost robe od njenog prispeća na carinsko područje do okončanja nacionalnog tranzitnog postupka, odnosno od okončanja postupka izvoznog carinjenja do napuštanja carinskog područja.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Carinski organ, ili, po potrebi, privredni subjekti kojima je carinski organ to odobrio, preduzima mere neophodne za identifikaciju robe, ako se identifikacija zahteva, kako bi se obezbedila primena propisa kojima se uređuje carinski postupak za koji je roba deklarisana.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Sredstva za identifikaciju pričvršćena za robu, pakovanje ili prevozna sredstva uklanja ili uništava samo carinski organ, ili, ako im je carinski organ to odobrio, privredni subjekti, osim ako se zbog nepredviđenih okolnosti ili više sile, moraju ukloniti ili uništiti kako bi se osigurala zaštita robe ili prevoznog sredstva.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Carinska obeležja stavljaju se, odnosno utiskuju na najpodesnije mesto na robi, na omotu robe, na prevoznom sredstvu, prostoriji ili prostoru, a podatak o vrsti, broju i oznakama carinskog obeležja unose se u odgovarajuću carinsku ispravu koja prati robu.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Prilikom stavljanja carinskih obeležja preduzeće se mere da se roba ne ošteti ili učini neupotrebljivom za svrhe za koje se uvozi.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Ako se mere carinskog nadzora, zbog prirode same robe ili načina transporta tereta u rasutom stanju mogu postići drugim sredstvima, carinski organ ne mora stavljati carinska obeležja, kako je to opisano u stavu 1. ovoga člana. Podatak o prevozu rasutog tereta mora biti naveden u carinskoj deklaraciji popunjenoj na način propisan Pravilnikom o obliku, sadržini, načinu podnošenja i popunjavanja deklaracija i drugih obrazaca u carinskom postupku, Prilog 5, deo II - Način popunjavanja rubrika JCI za tranzit robe, rubrika 31 (Pakovanje i naimenovanje robe, oznake i brojevi - kontejner broj - broj i vrsta).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U pogledu Način upotrebe i tehnički karakteristika, izgleda, sadržine i načina upotrebe carinske plombe i nalepnice primenjuju se i odredbe zakona, uredbe kojom se uređuju carinski postupci i carinske formalnosti i pravilnika kojim se uređuje način uzimanja uzoraka robe.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9" w:name="clan_10"/>
      <w:bookmarkEnd w:id="9"/>
      <w:r w:rsidRPr="00212C88">
        <w:rPr>
          <w:rFonts w:ascii="Arial" w:eastAsia="Times New Roman" w:hAnsi="Arial" w:cs="Arial"/>
          <w:b/>
          <w:bCs/>
          <w:sz w:val="24"/>
          <w:szCs w:val="24"/>
        </w:rPr>
        <w:t xml:space="preserve">Član 10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Carinska obeležja, pribor i materijal za njihovu upotrebu obezbeđuje Uprava carina.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lastRenderedPageBreak/>
        <w:t xml:space="preserve">Uprava carina obezbeđuje opremu potrebnu za upotrebu elektronskih lokatora, kao i sve potrebne elemente za funkcionisanje sistema. </w:t>
      </w:r>
    </w:p>
    <w:p w:rsidR="00212C88" w:rsidRPr="00212C88" w:rsidRDefault="00212C88" w:rsidP="00212C88">
      <w:pPr>
        <w:spacing w:before="240" w:after="120" w:line="240" w:lineRule="auto"/>
        <w:jc w:val="center"/>
        <w:rPr>
          <w:rFonts w:ascii="Arial" w:eastAsia="Times New Roman" w:hAnsi="Arial" w:cs="Arial"/>
          <w:b/>
          <w:bCs/>
          <w:sz w:val="24"/>
          <w:szCs w:val="24"/>
        </w:rPr>
      </w:pPr>
      <w:bookmarkStart w:id="10" w:name="clan_11"/>
      <w:bookmarkEnd w:id="10"/>
      <w:r w:rsidRPr="00212C88">
        <w:rPr>
          <w:rFonts w:ascii="Arial" w:eastAsia="Times New Roman" w:hAnsi="Arial" w:cs="Arial"/>
          <w:b/>
          <w:bCs/>
          <w:sz w:val="24"/>
          <w:szCs w:val="24"/>
        </w:rPr>
        <w:t xml:space="preserve">Član 11 </w:t>
      </w:r>
    </w:p>
    <w:p w:rsidR="00212C88" w:rsidRPr="00212C88" w:rsidRDefault="00212C88" w:rsidP="00212C88">
      <w:pPr>
        <w:spacing w:before="100" w:beforeAutospacing="1" w:after="100" w:afterAutospacing="1" w:line="240" w:lineRule="auto"/>
        <w:rPr>
          <w:rFonts w:ascii="Arial" w:eastAsia="Times New Roman" w:hAnsi="Arial" w:cs="Arial"/>
        </w:rPr>
      </w:pPr>
      <w:r w:rsidRPr="00212C88">
        <w:rPr>
          <w:rFonts w:ascii="Arial" w:eastAsia="Times New Roman" w:hAnsi="Arial" w:cs="Arial"/>
        </w:rPr>
        <w:t xml:space="preserve">Ovaj pravilnik stupa na snagu narednog dana od dana objavljivanja u "Službenom glasniku Republike Srbije". </w:t>
      </w:r>
    </w:p>
    <w:p w:rsidR="002C71AB" w:rsidRDefault="00212C88">
      <w:bookmarkStart w:id="11" w:name="_GoBack"/>
      <w:bookmarkEnd w:id="11"/>
    </w:p>
    <w:sectPr w:rsidR="002C71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435"/>
    <w:rsid w:val="00212C88"/>
    <w:rsid w:val="00476435"/>
    <w:rsid w:val="006256FE"/>
    <w:rsid w:val="00F70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CBBFFB-6F1D-4916-B5D0-E2356798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96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1335</Words>
  <Characters>7613</Characters>
  <Application>Microsoft Office Word</Application>
  <DocSecurity>0</DocSecurity>
  <Lines>63</Lines>
  <Paragraphs>17</Paragraphs>
  <ScaleCrop>false</ScaleCrop>
  <Company>Uprava Carina</Company>
  <LinksUpToDate>false</LinksUpToDate>
  <CharactersWithSpaces>8931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Jovanovic</dc:creator>
  <cp:keywords/>
  <dc:description/>
  <cp:lastModifiedBy>Ana Jovanovic</cp:lastModifiedBy>
  <cp:revision>2</cp:revision>
  <dcterms:created xsi:type="dcterms:W3CDTF">2021-04-01T06:55:00Z</dcterms:created>
  <dcterms:modified xsi:type="dcterms:W3CDTF">2021-04-01T06:55:00Z</dcterms:modified>
</cp:coreProperties>
</file>