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740A" w:rsidRPr="0029740A" w:rsidRDefault="0029740A" w:rsidP="0029740A">
      <w:pPr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val="sr-Cyrl-RS"/>
        </w:rPr>
      </w:pPr>
      <w:r w:rsidRPr="0029740A">
        <w:rPr>
          <w:rFonts w:ascii="Arial" w:eastAsia="Times New Roman" w:hAnsi="Arial" w:cs="Arial"/>
          <w:b/>
          <w:bCs/>
          <w:sz w:val="28"/>
          <w:szCs w:val="28"/>
          <w:u w:val="single"/>
          <w:lang w:val="sr-Cyrl-RS"/>
        </w:rPr>
        <w:t xml:space="preserve">Информација о значајним изменама за процедуру уласка робе у ЕУ </w:t>
      </w:r>
    </w:p>
    <w:p w:rsidR="0029740A" w:rsidRPr="0029740A" w:rsidRDefault="0029740A" w:rsidP="0029740A">
      <w:pPr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val="sr-Cyrl-RS"/>
        </w:rPr>
      </w:pPr>
    </w:p>
    <w:p w:rsidR="0029740A" w:rsidRPr="0029740A" w:rsidRDefault="0029740A" w:rsidP="0029740A">
      <w:pPr>
        <w:jc w:val="both"/>
        <w:rPr>
          <w:rFonts w:ascii="Arial" w:eastAsia="Times New Roman" w:hAnsi="Arial" w:cs="Arial"/>
          <w:bCs/>
          <w:sz w:val="28"/>
          <w:szCs w:val="28"/>
          <w:lang w:val="sr-Cyrl-RS"/>
        </w:rPr>
      </w:pPr>
      <w:r w:rsidRPr="0029740A">
        <w:rPr>
          <w:rFonts w:ascii="Arial" w:eastAsia="Times New Roman" w:hAnsi="Arial" w:cs="Arial"/>
          <w:bCs/>
          <w:sz w:val="28"/>
          <w:szCs w:val="28"/>
          <w:lang w:val="sr-Cyrl-RS"/>
        </w:rPr>
        <w:t xml:space="preserve">Од 3. јуна 2024. године Генерални директорат за порезе и царине Уније – </w:t>
      </w:r>
      <w:r w:rsidRPr="0029740A">
        <w:rPr>
          <w:rFonts w:ascii="Arial" w:eastAsia="Times New Roman" w:hAnsi="Arial" w:cs="Arial"/>
          <w:bCs/>
          <w:i/>
          <w:sz w:val="28"/>
          <w:szCs w:val="28"/>
        </w:rPr>
        <w:t>Customs</w:t>
      </w:r>
      <w:r w:rsidRPr="0029740A">
        <w:rPr>
          <w:rFonts w:ascii="Arial" w:eastAsia="Times New Roman" w:hAnsi="Arial" w:cs="Arial"/>
          <w:bCs/>
          <w:sz w:val="28"/>
          <w:szCs w:val="28"/>
          <w:lang w:val="sr-Cyrl-RS"/>
        </w:rPr>
        <w:t xml:space="preserve"> (</w:t>
      </w:r>
      <w:r w:rsidRPr="0029740A">
        <w:rPr>
          <w:rFonts w:ascii="Arial" w:eastAsia="Times New Roman" w:hAnsi="Arial" w:cs="Arial"/>
          <w:bCs/>
          <w:sz w:val="28"/>
          <w:szCs w:val="28"/>
        </w:rPr>
        <w:t xml:space="preserve"> </w:t>
      </w:r>
      <w:r w:rsidRPr="0029740A">
        <w:rPr>
          <w:rFonts w:ascii="Arial" w:eastAsia="Times New Roman" w:hAnsi="Arial" w:cs="Arial"/>
          <w:bCs/>
          <w:i/>
          <w:sz w:val="28"/>
          <w:szCs w:val="28"/>
        </w:rPr>
        <w:t>TAXUD.A</w:t>
      </w:r>
      <w:r w:rsidRPr="0029740A">
        <w:rPr>
          <w:rFonts w:ascii="Arial" w:eastAsia="Times New Roman" w:hAnsi="Arial" w:cs="Arial"/>
          <w:bCs/>
          <w:sz w:val="28"/>
          <w:szCs w:val="28"/>
        </w:rPr>
        <w:t>)</w:t>
      </w:r>
      <w:r w:rsidRPr="0029740A">
        <w:rPr>
          <w:rFonts w:ascii="Arial" w:eastAsia="Times New Roman" w:hAnsi="Arial" w:cs="Arial"/>
          <w:bCs/>
          <w:sz w:val="28"/>
          <w:szCs w:val="28"/>
          <w:lang w:val="sr-Cyrl-RS"/>
        </w:rPr>
        <w:t xml:space="preserve"> уводи значајне измене за процедуру уласка робе у ЕУ.  </w:t>
      </w:r>
    </w:p>
    <w:p w:rsidR="0029740A" w:rsidRPr="0029740A" w:rsidRDefault="0029740A" w:rsidP="0029740A">
      <w:pPr>
        <w:jc w:val="both"/>
        <w:rPr>
          <w:rFonts w:ascii="Arial" w:eastAsia="Times New Roman" w:hAnsi="Arial" w:cs="Arial"/>
          <w:bCs/>
          <w:sz w:val="28"/>
          <w:szCs w:val="28"/>
          <w:lang w:val="sr-Cyrl-RS"/>
        </w:rPr>
      </w:pPr>
      <w:r w:rsidRPr="0029740A">
        <w:rPr>
          <w:rFonts w:ascii="Arial" w:eastAsia="Times New Roman" w:hAnsi="Arial" w:cs="Arial"/>
          <w:bCs/>
          <w:sz w:val="28"/>
          <w:szCs w:val="28"/>
          <w:lang w:val="sr-Cyrl-RS"/>
        </w:rPr>
        <w:t xml:space="preserve">Захтеви за подацима који се тичу сигурности и безбедности су већ на снази за превоз робе ваздушним путем. Са трећом фазом новог система Европске уније за сигурност и безбедност пре приспећа робе – Систем контроле увоза 2 </w:t>
      </w:r>
      <w:r w:rsidRPr="0029740A">
        <w:rPr>
          <w:rFonts w:ascii="Arial" w:eastAsia="Times New Roman" w:hAnsi="Arial" w:cs="Arial"/>
          <w:bCs/>
          <w:sz w:val="28"/>
          <w:szCs w:val="28"/>
        </w:rPr>
        <w:t xml:space="preserve">(ICS2), </w:t>
      </w:r>
      <w:r w:rsidRPr="0029740A">
        <w:rPr>
          <w:rFonts w:ascii="Arial" w:eastAsia="Times New Roman" w:hAnsi="Arial" w:cs="Arial"/>
          <w:bCs/>
          <w:sz w:val="28"/>
          <w:szCs w:val="28"/>
          <w:lang w:val="sr-Cyrl-RS"/>
        </w:rPr>
        <w:t>ЕУ наставља да проширује захтеве за пријављивањем података који се односе на сигурност и безбедност.</w:t>
      </w:r>
    </w:p>
    <w:p w:rsidR="0029740A" w:rsidRPr="0029740A" w:rsidRDefault="0029740A" w:rsidP="0029740A">
      <w:pPr>
        <w:jc w:val="both"/>
        <w:rPr>
          <w:rFonts w:ascii="Arial" w:eastAsia="Times New Roman" w:hAnsi="Arial" w:cs="Arial"/>
          <w:bCs/>
          <w:sz w:val="28"/>
          <w:szCs w:val="28"/>
          <w:lang w:val="sr-Cyrl-RS"/>
        </w:rPr>
      </w:pPr>
      <w:r w:rsidRPr="0029740A">
        <w:rPr>
          <w:rFonts w:ascii="Arial" w:eastAsia="Times New Roman" w:hAnsi="Arial" w:cs="Arial"/>
          <w:bCs/>
          <w:sz w:val="28"/>
          <w:szCs w:val="28"/>
          <w:lang w:val="sr-Cyrl-RS"/>
        </w:rPr>
        <w:t xml:space="preserve">У овој трећој фази имплементације, превозници који обављају транспорт морским и унутрашњим водним путевима ће бити у обавези да </w:t>
      </w:r>
      <w:r w:rsidRPr="0029740A">
        <w:rPr>
          <w:rFonts w:ascii="Arial" w:eastAsia="Times New Roman" w:hAnsi="Arial" w:cs="Arial"/>
          <w:bCs/>
          <w:sz w:val="28"/>
          <w:szCs w:val="28"/>
        </w:rPr>
        <w:t xml:space="preserve"> </w:t>
      </w:r>
      <w:r w:rsidRPr="0029740A">
        <w:rPr>
          <w:rFonts w:ascii="Arial" w:eastAsia="Times New Roman" w:hAnsi="Arial" w:cs="Arial"/>
          <w:bCs/>
          <w:sz w:val="28"/>
          <w:szCs w:val="28"/>
          <w:lang w:val="sr-Cyrl-RS"/>
        </w:rPr>
        <w:t>доставе податке о роби која се шаље у или кроз ЕУ пре њеног приспећа, тако што ће попунити улазну сажету декларацију (</w:t>
      </w:r>
      <w:r w:rsidRPr="0029740A">
        <w:rPr>
          <w:rFonts w:ascii="Arial" w:eastAsia="Times New Roman" w:hAnsi="Arial" w:cs="Arial"/>
          <w:bCs/>
          <w:i/>
          <w:sz w:val="28"/>
          <w:szCs w:val="28"/>
        </w:rPr>
        <w:t>ENS</w:t>
      </w:r>
      <w:r w:rsidRPr="0029740A">
        <w:rPr>
          <w:rFonts w:ascii="Arial" w:eastAsia="Times New Roman" w:hAnsi="Arial" w:cs="Arial"/>
          <w:bCs/>
          <w:sz w:val="28"/>
          <w:szCs w:val="28"/>
          <w:lang w:val="sr-Cyrl-RS"/>
        </w:rPr>
        <w:t>).</w:t>
      </w:r>
    </w:p>
    <w:p w:rsidR="0029740A" w:rsidRPr="0029740A" w:rsidRDefault="0029740A" w:rsidP="0029740A">
      <w:pPr>
        <w:jc w:val="both"/>
        <w:rPr>
          <w:rFonts w:ascii="Arial" w:eastAsia="Times New Roman" w:hAnsi="Arial" w:cs="Arial"/>
          <w:bCs/>
          <w:sz w:val="28"/>
          <w:szCs w:val="28"/>
          <w:lang w:val="sr-Cyrl-RS"/>
        </w:rPr>
      </w:pPr>
      <w:r w:rsidRPr="0029740A">
        <w:rPr>
          <w:rFonts w:ascii="Arial" w:eastAsia="Times New Roman" w:hAnsi="Arial" w:cs="Arial"/>
          <w:bCs/>
          <w:sz w:val="28"/>
          <w:szCs w:val="28"/>
          <w:lang w:val="sr-Cyrl-RS"/>
        </w:rPr>
        <w:t xml:space="preserve">Ова обавеза се односи и на поштанске и експресне оператере који транспортују робу користећи ове начине превоза као и на друге укључене стране, као што су службе за пружање логистичких услуга. У одређеним случајевима, крајњи примаоци регистровани у ЕУ ће такође морати да подносе </w:t>
      </w:r>
      <w:r w:rsidRPr="0029740A">
        <w:rPr>
          <w:rFonts w:ascii="Arial" w:eastAsia="Times New Roman" w:hAnsi="Arial" w:cs="Arial"/>
          <w:bCs/>
          <w:i/>
          <w:sz w:val="28"/>
          <w:szCs w:val="28"/>
        </w:rPr>
        <w:t>ENS</w:t>
      </w:r>
      <w:r w:rsidRPr="0029740A">
        <w:rPr>
          <w:rFonts w:ascii="Arial" w:eastAsia="Times New Roman" w:hAnsi="Arial" w:cs="Arial"/>
          <w:bCs/>
          <w:i/>
          <w:sz w:val="28"/>
          <w:szCs w:val="28"/>
          <w:lang w:val="sr-Cyrl-RS"/>
        </w:rPr>
        <w:t xml:space="preserve"> </w:t>
      </w:r>
      <w:r w:rsidRPr="0029740A">
        <w:rPr>
          <w:rFonts w:ascii="Arial" w:eastAsia="Times New Roman" w:hAnsi="Arial" w:cs="Arial"/>
          <w:bCs/>
          <w:sz w:val="28"/>
          <w:szCs w:val="28"/>
          <w:lang w:val="sr-Cyrl-RS"/>
        </w:rPr>
        <w:t>податке</w:t>
      </w:r>
      <w:r w:rsidRPr="0029740A">
        <w:rPr>
          <w:rFonts w:ascii="Arial" w:eastAsia="Times New Roman" w:hAnsi="Arial" w:cs="Arial"/>
          <w:bCs/>
          <w:i/>
          <w:sz w:val="28"/>
          <w:szCs w:val="28"/>
          <w:lang w:val="sr-Cyrl-RS"/>
        </w:rPr>
        <w:t xml:space="preserve"> </w:t>
      </w:r>
      <w:r w:rsidRPr="0029740A">
        <w:rPr>
          <w:rFonts w:ascii="Arial" w:eastAsia="Times New Roman" w:hAnsi="Arial" w:cs="Arial"/>
          <w:bCs/>
          <w:sz w:val="28"/>
          <w:szCs w:val="28"/>
          <w:lang w:val="sr-Cyrl-RS"/>
        </w:rPr>
        <w:t xml:space="preserve">у  </w:t>
      </w:r>
      <w:r w:rsidRPr="0029740A">
        <w:rPr>
          <w:rFonts w:ascii="Arial" w:eastAsia="Times New Roman" w:hAnsi="Arial" w:cs="Arial"/>
          <w:bCs/>
          <w:sz w:val="28"/>
          <w:szCs w:val="28"/>
        </w:rPr>
        <w:t>ICS2</w:t>
      </w:r>
      <w:r w:rsidRPr="0029740A">
        <w:rPr>
          <w:rFonts w:ascii="Arial" w:eastAsia="Times New Roman" w:hAnsi="Arial" w:cs="Arial"/>
          <w:bCs/>
          <w:sz w:val="28"/>
          <w:szCs w:val="28"/>
          <w:lang w:val="sr-Cyrl-RS"/>
        </w:rPr>
        <w:t>.</w:t>
      </w:r>
    </w:p>
    <w:p w:rsidR="0029740A" w:rsidRPr="0029740A" w:rsidRDefault="0029740A" w:rsidP="0029740A">
      <w:pPr>
        <w:jc w:val="both"/>
        <w:rPr>
          <w:rFonts w:ascii="Arial" w:eastAsia="Times New Roman" w:hAnsi="Arial" w:cs="Arial"/>
          <w:bCs/>
          <w:sz w:val="28"/>
          <w:szCs w:val="28"/>
          <w:lang w:val="sr-Cyrl-RS"/>
        </w:rPr>
      </w:pPr>
      <w:r w:rsidRPr="0029740A">
        <w:rPr>
          <w:rFonts w:ascii="Arial" w:eastAsia="Times New Roman" w:hAnsi="Arial" w:cs="Arial"/>
          <w:bCs/>
          <w:sz w:val="28"/>
          <w:szCs w:val="28"/>
          <w:lang w:val="sr-Cyrl-RS"/>
        </w:rPr>
        <w:t>У каснијој фази ће слични захтеви за подацима који се тичу сигурности и безбедности бити уведени за железнички и друмски превоз робе.</w:t>
      </w:r>
    </w:p>
    <w:p w:rsidR="0029740A" w:rsidRPr="0029740A" w:rsidRDefault="0029740A" w:rsidP="0029740A">
      <w:pPr>
        <w:jc w:val="both"/>
        <w:rPr>
          <w:rFonts w:ascii="Arial" w:eastAsia="Times New Roman" w:hAnsi="Arial" w:cs="Arial"/>
          <w:bCs/>
          <w:sz w:val="28"/>
          <w:szCs w:val="28"/>
          <w:lang w:val="sr-Cyrl-RS"/>
        </w:rPr>
      </w:pPr>
      <w:r w:rsidRPr="0029740A">
        <w:rPr>
          <w:rFonts w:ascii="Arial" w:eastAsia="Times New Roman" w:hAnsi="Arial" w:cs="Arial"/>
          <w:bCs/>
          <w:sz w:val="28"/>
          <w:szCs w:val="28"/>
          <w:lang w:val="sr-Cyrl-RS"/>
        </w:rPr>
        <w:t>Сви привредни субјекти обухваћени овим мораће да:</w:t>
      </w:r>
    </w:p>
    <w:p w:rsidR="0029740A" w:rsidRPr="0029740A" w:rsidRDefault="0029740A" w:rsidP="0029740A">
      <w:pPr>
        <w:numPr>
          <w:ilvl w:val="0"/>
          <w:numId w:val="1"/>
        </w:numPr>
        <w:jc w:val="both"/>
        <w:rPr>
          <w:rFonts w:ascii="Arial" w:eastAsia="Times New Roman" w:hAnsi="Arial" w:cs="Arial"/>
          <w:bCs/>
          <w:sz w:val="28"/>
          <w:szCs w:val="28"/>
          <w:lang w:val="sr-Cyrl-RS"/>
        </w:rPr>
      </w:pPr>
      <w:r w:rsidRPr="0029740A">
        <w:rPr>
          <w:rFonts w:ascii="Arial" w:eastAsia="Times New Roman" w:hAnsi="Arial" w:cs="Arial"/>
          <w:bCs/>
          <w:sz w:val="28"/>
          <w:szCs w:val="28"/>
          <w:lang w:val="sr-Cyrl-RS"/>
        </w:rPr>
        <w:t>прибављају тачне и потпуне податке од својих клијената;</w:t>
      </w:r>
    </w:p>
    <w:p w:rsidR="0029740A" w:rsidRPr="0029740A" w:rsidRDefault="0029740A" w:rsidP="0029740A">
      <w:pPr>
        <w:numPr>
          <w:ilvl w:val="0"/>
          <w:numId w:val="1"/>
        </w:numPr>
        <w:jc w:val="both"/>
        <w:rPr>
          <w:rFonts w:ascii="Arial" w:eastAsia="Times New Roman" w:hAnsi="Arial" w:cs="Arial"/>
          <w:bCs/>
          <w:sz w:val="28"/>
          <w:szCs w:val="28"/>
          <w:lang w:val="sr-Cyrl-RS"/>
        </w:rPr>
      </w:pPr>
      <w:r w:rsidRPr="0029740A">
        <w:rPr>
          <w:rFonts w:ascii="Arial" w:eastAsia="Times New Roman" w:hAnsi="Arial" w:cs="Arial"/>
          <w:bCs/>
          <w:sz w:val="28"/>
          <w:szCs w:val="28"/>
          <w:lang w:val="sr-Cyrl-RS"/>
        </w:rPr>
        <w:t xml:space="preserve">успоставе одговарајуће уговорне обавезе у случају вишеструког подношења како би се испоштовали захтеви за пријављивањем података у </w:t>
      </w:r>
      <w:r w:rsidRPr="0029740A">
        <w:rPr>
          <w:rFonts w:ascii="Arial" w:eastAsia="Times New Roman" w:hAnsi="Arial" w:cs="Arial"/>
          <w:bCs/>
          <w:sz w:val="28"/>
          <w:szCs w:val="28"/>
        </w:rPr>
        <w:t>ICS2</w:t>
      </w:r>
      <w:r w:rsidRPr="0029740A">
        <w:rPr>
          <w:rFonts w:ascii="Arial" w:eastAsia="Times New Roman" w:hAnsi="Arial" w:cs="Arial"/>
          <w:bCs/>
          <w:sz w:val="28"/>
          <w:szCs w:val="28"/>
          <w:lang w:val="sr-Cyrl-RS"/>
        </w:rPr>
        <w:t>;</w:t>
      </w:r>
    </w:p>
    <w:p w:rsidR="0029740A" w:rsidRPr="0029740A" w:rsidRDefault="0029740A" w:rsidP="0029740A">
      <w:pPr>
        <w:numPr>
          <w:ilvl w:val="0"/>
          <w:numId w:val="1"/>
        </w:numPr>
        <w:jc w:val="both"/>
        <w:rPr>
          <w:rFonts w:ascii="Arial" w:eastAsia="Times New Roman" w:hAnsi="Arial" w:cs="Arial"/>
          <w:bCs/>
          <w:sz w:val="28"/>
          <w:szCs w:val="28"/>
          <w:lang w:val="sr-Cyrl-RS"/>
        </w:rPr>
      </w:pPr>
      <w:r w:rsidRPr="0029740A">
        <w:rPr>
          <w:rFonts w:ascii="Arial" w:eastAsia="Times New Roman" w:hAnsi="Arial" w:cs="Arial"/>
          <w:bCs/>
          <w:sz w:val="28"/>
          <w:szCs w:val="28"/>
          <w:lang w:val="sr-Cyrl-RS"/>
        </w:rPr>
        <w:t>спроведу неопходне активности за развој ИТ што је пре могуће;</w:t>
      </w:r>
    </w:p>
    <w:p w:rsidR="0029740A" w:rsidRPr="0029740A" w:rsidRDefault="0029740A" w:rsidP="0029740A">
      <w:pPr>
        <w:numPr>
          <w:ilvl w:val="0"/>
          <w:numId w:val="1"/>
        </w:numPr>
        <w:jc w:val="both"/>
        <w:rPr>
          <w:rFonts w:ascii="Arial" w:eastAsia="Times New Roman" w:hAnsi="Arial" w:cs="Arial"/>
          <w:bCs/>
          <w:sz w:val="28"/>
          <w:szCs w:val="28"/>
          <w:lang w:val="sr-Cyrl-RS"/>
        </w:rPr>
      </w:pPr>
      <w:r w:rsidRPr="0029740A">
        <w:rPr>
          <w:rFonts w:ascii="Arial" w:eastAsia="Times New Roman" w:hAnsi="Arial" w:cs="Arial"/>
          <w:bCs/>
          <w:sz w:val="28"/>
          <w:szCs w:val="28"/>
          <w:lang w:val="sr-Cyrl-RS"/>
        </w:rPr>
        <w:t xml:space="preserve">успешно прођу обавезну самопроверу усклађености сопствених система како би почели са подношењем података у  </w:t>
      </w:r>
      <w:r w:rsidRPr="0029740A">
        <w:rPr>
          <w:rFonts w:ascii="Arial" w:eastAsia="Times New Roman" w:hAnsi="Arial" w:cs="Arial"/>
          <w:bCs/>
          <w:sz w:val="28"/>
          <w:szCs w:val="28"/>
        </w:rPr>
        <w:t>ICS2</w:t>
      </w:r>
      <w:r w:rsidRPr="0029740A">
        <w:rPr>
          <w:rFonts w:ascii="Arial" w:eastAsia="Times New Roman" w:hAnsi="Arial" w:cs="Arial"/>
          <w:bCs/>
          <w:sz w:val="28"/>
          <w:szCs w:val="28"/>
          <w:lang w:val="sr-Cyrl-RS"/>
        </w:rPr>
        <w:t>.</w:t>
      </w:r>
    </w:p>
    <w:p w:rsidR="0029740A" w:rsidRPr="0029740A" w:rsidRDefault="0029740A" w:rsidP="0029740A">
      <w:pPr>
        <w:jc w:val="both"/>
        <w:rPr>
          <w:rFonts w:ascii="Arial" w:eastAsia="Times New Roman" w:hAnsi="Arial" w:cs="Arial"/>
          <w:bCs/>
          <w:sz w:val="28"/>
          <w:szCs w:val="28"/>
          <w:lang w:val="sr-Cyrl-RS"/>
        </w:rPr>
      </w:pPr>
      <w:r w:rsidRPr="0029740A">
        <w:rPr>
          <w:rFonts w:ascii="Arial" w:eastAsia="Times New Roman" w:hAnsi="Arial" w:cs="Arial"/>
          <w:bCs/>
          <w:sz w:val="28"/>
          <w:szCs w:val="28"/>
          <w:lang w:val="sr-Cyrl-RS"/>
        </w:rPr>
        <w:t>Поред тога, привредни субјекти на које се ово односи треба да обрате пажњу на временски оквир за имплементацију,  с обзиром на то да ће се</w:t>
      </w:r>
      <w:r w:rsidRPr="0029740A">
        <w:rPr>
          <w:rFonts w:ascii="Arial" w:eastAsia="Times New Roman" w:hAnsi="Arial" w:cs="Arial"/>
          <w:b/>
          <w:bCs/>
          <w:sz w:val="28"/>
          <w:szCs w:val="28"/>
          <w:lang w:val="sr-Cyrl-RS"/>
        </w:rPr>
        <w:t xml:space="preserve"> </w:t>
      </w:r>
      <w:r w:rsidRPr="0029740A">
        <w:rPr>
          <w:rFonts w:ascii="Arial" w:eastAsia="Times New Roman" w:hAnsi="Arial" w:cs="Arial"/>
          <w:bCs/>
          <w:sz w:val="28"/>
          <w:szCs w:val="28"/>
          <w:lang w:val="sr-Cyrl-RS"/>
        </w:rPr>
        <w:t xml:space="preserve">повезивање </w:t>
      </w:r>
      <w:r w:rsidRPr="0029740A">
        <w:rPr>
          <w:rFonts w:ascii="Arial" w:eastAsia="Times New Roman" w:hAnsi="Arial" w:cs="Arial"/>
          <w:bCs/>
          <w:sz w:val="28"/>
          <w:szCs w:val="28"/>
          <w:lang w:val="sr-Cyrl-RS"/>
        </w:rPr>
        <w:lastRenderedPageBreak/>
        <w:t xml:space="preserve">на </w:t>
      </w:r>
      <w:r w:rsidRPr="0029740A">
        <w:rPr>
          <w:rFonts w:ascii="Arial" w:eastAsia="Times New Roman" w:hAnsi="Arial" w:cs="Arial"/>
          <w:bCs/>
          <w:sz w:val="28"/>
          <w:szCs w:val="28"/>
        </w:rPr>
        <w:t>ICS2</w:t>
      </w:r>
      <w:r w:rsidRPr="0029740A">
        <w:rPr>
          <w:rFonts w:ascii="Arial" w:eastAsia="Times New Roman" w:hAnsi="Arial" w:cs="Arial"/>
          <w:bCs/>
          <w:sz w:val="28"/>
          <w:szCs w:val="28"/>
          <w:lang w:val="sr-Cyrl-RS"/>
        </w:rPr>
        <w:t xml:space="preserve"> одвијати постепено, у зависности од начина превоза, и то од 3. јуна 2024 године до 1. септембра 2025. године.</w:t>
      </w:r>
    </w:p>
    <w:p w:rsidR="0029740A" w:rsidRPr="0029740A" w:rsidRDefault="0029740A" w:rsidP="0029740A">
      <w:pPr>
        <w:jc w:val="both"/>
        <w:rPr>
          <w:rFonts w:ascii="Arial" w:eastAsia="Times New Roman" w:hAnsi="Arial" w:cs="Arial"/>
          <w:bCs/>
          <w:sz w:val="28"/>
          <w:szCs w:val="28"/>
          <w:lang w:val="sr-Latn-RS"/>
        </w:rPr>
      </w:pPr>
      <w:r w:rsidRPr="0029740A">
        <w:rPr>
          <w:rFonts w:ascii="Arial" w:eastAsia="Times New Roman" w:hAnsi="Arial" w:cs="Arial"/>
          <w:bCs/>
          <w:sz w:val="28"/>
          <w:szCs w:val="28"/>
          <w:lang w:val="sr-Cyrl-RS"/>
        </w:rPr>
        <w:t xml:space="preserve">Европска комисија спроводи свеобухватну кампању у циљу информисања свих привредника о овим значајним изменама како би се избегле непотребне сметње на граничним прелазима са ЕУ. </w:t>
      </w:r>
    </w:p>
    <w:p w:rsidR="0029740A" w:rsidRPr="0029740A" w:rsidRDefault="0029740A" w:rsidP="0029740A">
      <w:pPr>
        <w:jc w:val="both"/>
        <w:rPr>
          <w:rFonts w:ascii="Arial" w:eastAsia="Times New Roman" w:hAnsi="Arial" w:cs="Arial"/>
          <w:bCs/>
          <w:sz w:val="28"/>
          <w:szCs w:val="28"/>
          <w:lang w:val="sr-Cyrl-RS"/>
        </w:rPr>
      </w:pPr>
      <w:r w:rsidRPr="0029740A">
        <w:rPr>
          <w:rFonts w:ascii="Arial" w:eastAsia="Times New Roman" w:hAnsi="Arial" w:cs="Arial"/>
          <w:bCs/>
          <w:sz w:val="28"/>
          <w:szCs w:val="28"/>
          <w:lang w:val="sr-Cyrl-RS"/>
        </w:rPr>
        <w:t>Детаљније информације можете наћи у брошурама на српском језику, као и на линку:</w:t>
      </w:r>
    </w:p>
    <w:p w:rsidR="0029740A" w:rsidRDefault="002101A4" w:rsidP="0029740A">
      <w:pPr>
        <w:jc w:val="both"/>
        <w:rPr>
          <w:rStyle w:val="Hyperlink"/>
          <w:rFonts w:ascii="Arial" w:eastAsia="Times New Roman" w:hAnsi="Arial" w:cs="Arial"/>
          <w:b/>
          <w:bCs/>
          <w:sz w:val="28"/>
          <w:szCs w:val="28"/>
        </w:rPr>
      </w:pPr>
      <w:hyperlink r:id="rId5" w:history="1">
        <w:r w:rsidR="0029740A" w:rsidRPr="0029740A">
          <w:rPr>
            <w:rStyle w:val="Hyperlink"/>
            <w:rFonts w:ascii="Arial" w:eastAsia="Times New Roman" w:hAnsi="Arial" w:cs="Arial"/>
            <w:b/>
            <w:bCs/>
            <w:sz w:val="28"/>
            <w:szCs w:val="28"/>
          </w:rPr>
          <w:t>Import Control System 2 - Release 3 - European Commission (europa.eu)</w:t>
        </w:r>
      </w:hyperlink>
    </w:p>
    <w:p w:rsidR="002101A4" w:rsidRDefault="002101A4" w:rsidP="0029740A">
      <w:pPr>
        <w:jc w:val="both"/>
        <w:rPr>
          <w:rStyle w:val="Hyperlink"/>
          <w:rFonts w:ascii="Arial" w:eastAsia="Times New Roman" w:hAnsi="Arial" w:cs="Arial"/>
          <w:b/>
          <w:bCs/>
          <w:sz w:val="28"/>
          <w:szCs w:val="28"/>
        </w:rPr>
      </w:pPr>
      <w:hyperlink r:id="rId6" w:history="1">
        <w:proofErr w:type="spellStart"/>
        <w:r w:rsidRPr="002101A4">
          <w:rPr>
            <w:rStyle w:val="Hyperlink"/>
            <w:rFonts w:ascii="Arial" w:eastAsia="Times New Roman" w:hAnsi="Arial" w:cs="Arial"/>
            <w:b/>
            <w:bCs/>
            <w:sz w:val="28"/>
            <w:szCs w:val="28"/>
          </w:rPr>
          <w:t>Прилог</w:t>
        </w:r>
        <w:proofErr w:type="spellEnd"/>
        <w:r w:rsidRPr="002101A4">
          <w:rPr>
            <w:rStyle w:val="Hyperlink"/>
            <w:rFonts w:ascii="Arial" w:eastAsia="Times New Roman" w:hAnsi="Arial" w:cs="Arial"/>
            <w:b/>
            <w:bCs/>
            <w:sz w:val="28"/>
            <w:szCs w:val="28"/>
          </w:rPr>
          <w:t xml:space="preserve"> 1 - </w:t>
        </w:r>
        <w:proofErr w:type="spellStart"/>
        <w:r w:rsidRPr="002101A4">
          <w:rPr>
            <w:rStyle w:val="Hyperlink"/>
            <w:rFonts w:ascii="Arial" w:eastAsia="Times New Roman" w:hAnsi="Arial" w:cs="Arial"/>
            <w:b/>
            <w:bCs/>
            <w:sz w:val="28"/>
            <w:szCs w:val="28"/>
          </w:rPr>
          <w:t>брошура</w:t>
        </w:r>
        <w:proofErr w:type="spellEnd"/>
      </w:hyperlink>
      <w:bookmarkStart w:id="0" w:name="_GoBack"/>
      <w:bookmarkEnd w:id="0"/>
    </w:p>
    <w:p w:rsidR="002101A4" w:rsidRPr="0029740A" w:rsidRDefault="002101A4" w:rsidP="0029740A">
      <w:pPr>
        <w:jc w:val="both"/>
        <w:rPr>
          <w:rFonts w:ascii="Arial" w:eastAsia="Times New Roman" w:hAnsi="Arial" w:cs="Arial"/>
          <w:b/>
          <w:bCs/>
          <w:sz w:val="28"/>
          <w:szCs w:val="28"/>
          <w:u w:val="single"/>
        </w:rPr>
      </w:pPr>
      <w:hyperlink r:id="rId7" w:history="1">
        <w:proofErr w:type="spellStart"/>
        <w:r w:rsidRPr="002101A4">
          <w:rPr>
            <w:rStyle w:val="Hyperlink"/>
            <w:rFonts w:ascii="Arial" w:eastAsia="Times New Roman" w:hAnsi="Arial" w:cs="Arial"/>
            <w:b/>
            <w:bCs/>
            <w:sz w:val="28"/>
            <w:szCs w:val="28"/>
          </w:rPr>
          <w:t>Прилог</w:t>
        </w:r>
        <w:proofErr w:type="spellEnd"/>
        <w:r w:rsidRPr="002101A4">
          <w:rPr>
            <w:rStyle w:val="Hyperlink"/>
            <w:rFonts w:ascii="Arial" w:eastAsia="Times New Roman" w:hAnsi="Arial" w:cs="Arial"/>
            <w:b/>
            <w:bCs/>
            <w:sz w:val="28"/>
            <w:szCs w:val="28"/>
          </w:rPr>
          <w:t xml:space="preserve"> 2 - </w:t>
        </w:r>
        <w:proofErr w:type="spellStart"/>
        <w:r w:rsidRPr="002101A4">
          <w:rPr>
            <w:rStyle w:val="Hyperlink"/>
            <w:rFonts w:ascii="Arial" w:eastAsia="Times New Roman" w:hAnsi="Arial" w:cs="Arial"/>
            <w:b/>
            <w:bCs/>
            <w:sz w:val="28"/>
            <w:szCs w:val="28"/>
          </w:rPr>
          <w:t>брошура</w:t>
        </w:r>
        <w:proofErr w:type="spellEnd"/>
      </w:hyperlink>
    </w:p>
    <w:p w:rsidR="00507FBF" w:rsidRPr="00695309" w:rsidRDefault="00507FBF" w:rsidP="00507FBF">
      <w:pPr>
        <w:jc w:val="both"/>
        <w:rPr>
          <w:lang w:val="ru-RU"/>
        </w:rPr>
      </w:pPr>
    </w:p>
    <w:p w:rsidR="00507FBF" w:rsidRPr="00695309" w:rsidRDefault="00507FBF" w:rsidP="00507FBF">
      <w:pPr>
        <w:shd w:val="clear" w:color="auto" w:fill="055797"/>
        <w:spacing w:after="0" w:line="240" w:lineRule="auto"/>
        <w:jc w:val="right"/>
        <w:rPr>
          <w:rFonts w:ascii="Arial" w:eastAsia="Times New Roman" w:hAnsi="Arial" w:cs="Arial"/>
          <w:b/>
          <w:bCs/>
          <w:color w:val="FFFFFF"/>
          <w:sz w:val="24"/>
          <w:szCs w:val="24"/>
          <w:lang w:val="ru-RU"/>
        </w:rPr>
      </w:pPr>
      <w:r w:rsidRPr="00695309">
        <w:rPr>
          <w:rFonts w:ascii="Arial" w:eastAsia="Times New Roman" w:hAnsi="Arial" w:cs="Arial"/>
          <w:b/>
          <w:bCs/>
          <w:color w:val="FFFFFF"/>
          <w:sz w:val="24"/>
          <w:szCs w:val="24"/>
          <w:lang w:val="ru-RU"/>
        </w:rPr>
        <w:t>Управа царина Републике Србије</w:t>
      </w:r>
    </w:p>
    <w:p w:rsidR="00507FBF" w:rsidRPr="00695309" w:rsidRDefault="00507FBF" w:rsidP="00507FBF">
      <w:pPr>
        <w:shd w:val="clear" w:color="auto" w:fill="055797"/>
        <w:spacing w:line="240" w:lineRule="auto"/>
        <w:jc w:val="right"/>
        <w:rPr>
          <w:rFonts w:ascii="Arial" w:eastAsia="Times New Roman" w:hAnsi="Arial" w:cs="Arial"/>
          <w:color w:val="FFFFFF"/>
          <w:sz w:val="21"/>
          <w:szCs w:val="21"/>
          <w:lang w:val="ru-RU"/>
        </w:rPr>
      </w:pPr>
      <w:r w:rsidRPr="00695309">
        <w:rPr>
          <w:rFonts w:ascii="Arial" w:eastAsia="Times New Roman" w:hAnsi="Arial" w:cs="Arial"/>
          <w:color w:val="FFFFFF"/>
          <w:sz w:val="21"/>
          <w:szCs w:val="21"/>
          <w:lang w:val="ru-RU"/>
        </w:rPr>
        <w:t>Министарство финансија</w:t>
      </w:r>
    </w:p>
    <w:p w:rsidR="0058451F" w:rsidRPr="0058451F" w:rsidRDefault="0058451F" w:rsidP="00507FBF">
      <w:pPr>
        <w:shd w:val="clear" w:color="auto" w:fill="FFFFFF"/>
        <w:spacing w:before="450" w:after="300" w:line="240" w:lineRule="auto"/>
        <w:jc w:val="right"/>
        <w:outlineLvl w:val="3"/>
        <w:rPr>
          <w:rFonts w:ascii="Arial" w:eastAsia="Times New Roman" w:hAnsi="Arial" w:cs="Arial"/>
          <w:b/>
          <w:bCs/>
          <w:color w:val="505A65"/>
          <w:sz w:val="28"/>
          <w:szCs w:val="28"/>
          <w:lang w:val="sr-Cyrl-RS"/>
        </w:rPr>
      </w:pPr>
      <w:r>
        <w:rPr>
          <w:rFonts w:ascii="Arial" w:eastAsia="Times New Roman" w:hAnsi="Arial" w:cs="Arial"/>
          <w:b/>
          <w:bCs/>
          <w:color w:val="505A65"/>
          <w:sz w:val="28"/>
          <w:szCs w:val="28"/>
          <w:lang w:val="sr-Cyrl-RS"/>
        </w:rPr>
        <w:t xml:space="preserve">                                                              </w:t>
      </w:r>
      <w:r>
        <w:rPr>
          <w:noProof/>
          <w:color w:val="1F497D"/>
        </w:rPr>
        <w:drawing>
          <wp:inline distT="0" distB="0" distL="0" distR="0">
            <wp:extent cx="952500" cy="1019175"/>
            <wp:effectExtent l="0" t="0" r="0" b="9525"/>
            <wp:docPr id="3" name="Picture 3" descr="cid:image001.png@01D87BDE.B8DB5E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png@01D87BDE.B8DB5E10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02DE" w:rsidRDefault="002101A4"/>
    <w:sectPr w:rsidR="003E02DE" w:rsidSect="00650F5F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203D70"/>
    <w:multiLevelType w:val="hybridMultilevel"/>
    <w:tmpl w:val="67A0F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51F"/>
    <w:rsid w:val="00114AB9"/>
    <w:rsid w:val="002101A4"/>
    <w:rsid w:val="00271CFC"/>
    <w:rsid w:val="0029740A"/>
    <w:rsid w:val="003A1367"/>
    <w:rsid w:val="003B667E"/>
    <w:rsid w:val="00507FBF"/>
    <w:rsid w:val="00577914"/>
    <w:rsid w:val="0058451F"/>
    <w:rsid w:val="00650F5F"/>
    <w:rsid w:val="00695309"/>
    <w:rsid w:val="0075773F"/>
    <w:rsid w:val="00883B46"/>
    <w:rsid w:val="009240DF"/>
    <w:rsid w:val="00A1341B"/>
    <w:rsid w:val="00B46060"/>
    <w:rsid w:val="00D5125E"/>
    <w:rsid w:val="00EC6FA7"/>
    <w:rsid w:val="00F80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11E7D3"/>
  <w15:chartTrackingRefBased/>
  <w15:docId w15:val="{EDBAE29A-3AE6-40D7-940A-C18A98EEA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507F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07FB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07FBF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7F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FBF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40D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40DF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29740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03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www.carina.rs/upload/media/2024/4/4/59387/%D0%98%D0%BD%D1%84%D0%BE%D1%80%D0%BC%D0%B0%D1%82%D0%BE%D1%80_%D0%B7%D0%B0_%D0%BF%D1%80%D0%B5%D0%B2%D0%BE%D0%B7_%D1%80%D0%BE%D0%B1%D0%B5_%D0%B2%D0%BE%D0%B4%D0%BD%D0%B8%D0%BC_%D0%BF%D1%83%D1%82%D0%B5%D0%B2%D0%B8%D0%BC%D0%B0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arina.rs/upload/media/2024/4/4/59386/%D0%91%D1%80%D0%BE%D1%88%D1%83%D1%80%D0%B0_%D1%81%D0%B0_%D1%82%D0%B5%D1%85%D0%BD%D0%B8%D1%87%D0%BA%D0%B8%D0%BC_%D0%B8%D0%BD%D1%84%D0%BE%D1%80%D0%BC%D0%B0%D1%86%D0%B8%D1%98%D0%B0%D0%BC%D0%B0.pdf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taxation-customs.ec.europa.eu/customs-4/customs-security/import-control-system-2-ics2-0/import-control-system-2-release-3_en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cid:image003.png@01DA538A.A58DD9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463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Carinarnica Vršac</Company>
  <LinksUpToDate>false</LinksUpToDate>
  <CharactersWithSpaces>3099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</dc:creator>
  <cp:keywords/>
  <dc:description/>
  <cp:lastModifiedBy>Nenad Strbic</cp:lastModifiedBy>
  <cp:revision>2</cp:revision>
  <cp:lastPrinted>2024-03-22T13:51:00Z</cp:lastPrinted>
  <dcterms:created xsi:type="dcterms:W3CDTF">2024-04-05T15:21:00Z</dcterms:created>
  <dcterms:modified xsi:type="dcterms:W3CDTF">2024-04-05T15:21:00Z</dcterms:modified>
</cp:coreProperties>
</file>