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8F" w:rsidRPr="0029678F" w:rsidRDefault="0029678F" w:rsidP="0029678F">
      <w:pPr>
        <w:jc w:val="center"/>
        <w:rPr>
          <w:rFonts w:eastAsia="Times New Roman" w:cstheme="minorHAnsi"/>
          <w:b/>
          <w:bCs/>
          <w:sz w:val="28"/>
          <w:szCs w:val="28"/>
          <w:u w:val="single"/>
          <w:lang w:val="sr-Cyrl-RS"/>
        </w:rPr>
      </w:pPr>
      <w:r w:rsidRPr="0029678F">
        <w:rPr>
          <w:rFonts w:eastAsia="Times New Roman" w:cstheme="minorHAnsi"/>
          <w:b/>
          <w:bCs/>
          <w:sz w:val="28"/>
          <w:szCs w:val="28"/>
          <w:u w:val="single"/>
          <w:lang w:val="sr-Cyrl-RS"/>
        </w:rPr>
        <w:t>ИЗМЕНА ОБЈАШЊЕЊА КОМПЈУТЕРИЗОВАНОГ ТРАНЗИТНОГ ПОСТУПКА</w:t>
      </w:r>
    </w:p>
    <w:p w:rsidR="0029678F" w:rsidRDefault="0029678F" w:rsidP="0029678F">
      <w:pPr>
        <w:spacing w:after="0"/>
        <w:jc w:val="both"/>
        <w:rPr>
          <w:rFonts w:eastAsia="Times New Roman" w:cstheme="minorHAnsi"/>
          <w:bCs/>
          <w:lang w:val="sr-Cyrl-RS"/>
        </w:rPr>
      </w:pP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Актом Управе царина број 000151709 2024 10521 005 006 000 001 од 26. јануара 2024. године, царинарницама је достављено Објашњење компјутеризованог транзитног поступка са припадајућим прилозима.</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 xml:space="preserve">Након сагледавања ефеката примене NCTS фазе 5, а у циљу даљег поједностављења поступка транзита, указала се потреба за измену дела акта Управе царина број 000151709 2024 10521 005 006 000 001 од 26. јануара 2024. године (Објашњење компјутеризованог транзитног поступка) који се односи на поједностављења у транзитном поступку у погледу статуса овлашћеног примаоца. </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Наиме одредбама члана 143. став 1. Царинског закона („Службени гласник Републике Србије“, број 95/2018...138/2022, у даљем тексту: Закон)  прописано је да пратеће исправе неопходне за примену одредаба којима се уређеује царински поступак за који се роба декларише у поседу су декларанта и на располагању царинском органу у време када се подноси декларација. Ставом 2. истог чалана прописано је да се пратеће исправе достављају царинском органу ако је прописано или ако су неопходне за царинску контролу.</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Такође је одредбама члана 224. став 2. Уредбе о царинским поступцима и царинским формалностима („Службени гласник Републике Србије“, број 39/2019...117/2023, у даљем тексту: Уредба) прописано да претеће исправе из члана 143. Закона, достављају се царинском органу уз декларацију у писаном облику.</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Имајући у виду наведене одредбе, одредбе чланова од 336. до 344. Уредбе којима су уређена поједностављења у националном  поступку транзита, односно чланова од 84. до 90. Поглавља IV и V, Наслова III, Додатка I Конвенције о заједничком транзитном поступку, („Службени гласник Републике Србије“, број 13/2015...4/2023) којима није прописана обавеза достављених пратећих исправа, почетком примене унапређеног транзитног система NCTS фазе 5, престаје обавеза подношења пратећих исправа у случајевима поједностављеног транзитног поступка за овлашћене примаоце. Напомињемо да је у складу са чланом 224. Уредбе потребно поднети пратеће исправе уз декларацију у писаном облику, што конкретно значи да у случају поједностављеног поступка код овлашћеног примаоца, пратеће исправе се достављају уз декларацију за следећи поступак или декларацију за привремени смештај.</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С тим у вези, мења се акт Управе царина број 000151709 2024 10521 005 006 000 001 од 26. јануара 2024. године (Објашњење компјутеризованог транзитног поступка) на тај начин што:</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У делу V I.10) (Поједностављени поступак овлашћеног пошиљаоца робе), мења се тачка 12. и гласи:</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 xml:space="preserve">„12. Поступак за проверу декларације објашњен у Одељку II.5 овог објашњења сходно се примењује и у поступку овлашћеног пошиљаоца. Полазна царинска испостава пре истека рока који је одређен у одобрењу може да донесе одлуку о провери. После извршене провере, у зависности од резултата провере, царински службеник поступа на начин објашњен у Одељку II.5 овог објашњења. Ако полазна царинска испостава не донесе одлуку о провери пошиљке у року, овлашћени пошиљалац ће добити дозволу за пуштање робе у транзит у форми поруке RS029 (Пуштено у транзит). Овлашћени пошиљалац не сме да пусти робу у транзит пре него што му стигне порука RS029 (Пуштено у транзит). Тек по пријему ове поруке овлашћени пошиљалац може да штампа ТSАD. </w:t>
      </w:r>
      <w:r w:rsidRPr="0029678F">
        <w:rPr>
          <w:rFonts w:eastAsia="Times New Roman" w:cstheme="minorHAnsi"/>
          <w:bCs/>
          <w:lang w:val="sr-Cyrl-RS"/>
        </w:rPr>
        <w:lastRenderedPageBreak/>
        <w:t>Уколико нема поруке Система за анализу ризика о обављању контроле, надлежна одредишна царинска испостава је обавезна да бар једном у шест месеци донесе одлуку о провери и изврши потпуни физички преглед робе и документације.“</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У делу VI.12) (Поједностављени поступак за овлашћеног примаоца робе), у тачки 3, бришу се речи:</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„д) Рок за достављање TSAD одредишној царинској испостави након истовара робе;“</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У делу VI.12) (Поједностављени поступак за овлашћеног примаоца робе), мења се тачка 10. и гласи:</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„10. Поступак за проверу декларације објашњен у Одељку V.3 овог објашњења сходно се примењује и у поступку овлашћеног примаоца. Одредишна царинска испостава пре истека рока који је одређен у одобрењу може да донесе одлуку о провери. После извршене провере, у зависности од резултата провере, царински службеник поступа на начин објашњен у Одељку V.3 овог објашњења. Уколико нема поруке Система за анализу ризика о обављању контроле, надлежна одредишна царинска испостава је обавезна да бар једном у шест месеци донесе одлуку о провери и изврши потпуни физички преглед робе и документације.“</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У Прилогу 6 (Одобрење за овлашћеног примаоца робе), брише се тачка 18.</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Такође, услед неопходних измена техничке природе, овим актом се мења горе наведени акт Управе царина на тај начин што:</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У делу V1 (Допремање робе декларисаној одредишној царинској испостави), у тачки 9, број: „IV.5.6.“ мења се и гласи:</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„V.6.5)”</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У делу V2 (Промена одредишне царинске испоставе – скретање са пута), у тачки 5, број:</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„IV.5.6“ мења се и гласи:</w:t>
      </w:r>
    </w:p>
    <w:p w:rsidR="0029678F" w:rsidRPr="0029678F" w:rsidRDefault="0029678F" w:rsidP="0029678F">
      <w:pPr>
        <w:jc w:val="both"/>
        <w:rPr>
          <w:rFonts w:eastAsia="Times New Roman" w:cstheme="minorHAnsi"/>
          <w:bCs/>
          <w:lang w:val="sr-Cyrl-RS"/>
        </w:rPr>
      </w:pPr>
      <w:r w:rsidRPr="0029678F">
        <w:rPr>
          <w:rFonts w:eastAsia="Times New Roman" w:cstheme="minorHAnsi"/>
          <w:bCs/>
          <w:lang w:val="sr-Cyrl-RS"/>
        </w:rPr>
        <w:t xml:space="preserve">„V.6.5)“ </w:t>
      </w:r>
    </w:p>
    <w:p w:rsidR="0029678F" w:rsidRDefault="0029678F" w:rsidP="0029678F">
      <w:pPr>
        <w:jc w:val="both"/>
        <w:rPr>
          <w:rFonts w:eastAsia="Times New Roman" w:cstheme="minorHAnsi"/>
          <w:bCs/>
          <w:lang w:val="sr-Cyrl-RS"/>
        </w:rPr>
      </w:pPr>
    </w:p>
    <w:p w:rsidR="00507FBF" w:rsidRPr="0029678F" w:rsidRDefault="0029678F" w:rsidP="0029678F">
      <w:pPr>
        <w:jc w:val="both"/>
        <w:rPr>
          <w:rFonts w:eastAsia="Times New Roman" w:cstheme="minorHAnsi"/>
          <w:b/>
          <w:bCs/>
          <w:lang w:val="sr-Cyrl-RS"/>
        </w:rPr>
      </w:pPr>
      <w:r w:rsidRPr="0029678F">
        <w:rPr>
          <w:rFonts w:eastAsia="Times New Roman" w:cstheme="minorHAnsi"/>
          <w:b/>
          <w:bCs/>
          <w:lang w:val="sr-Cyrl-RS"/>
        </w:rPr>
        <w:t>(Акт Управе царина број 000311588 2024 10521 005 006 000 001 од 23.02.2024. године)</w:t>
      </w:r>
      <w:bookmarkStart w:id="0" w:name="_GoBack"/>
      <w:bookmarkEnd w:id="0"/>
    </w:p>
    <w:p w:rsidR="0029678F" w:rsidRPr="0029678F" w:rsidRDefault="0029678F" w:rsidP="0029678F">
      <w:pPr>
        <w:jc w:val="both"/>
        <w:rPr>
          <w:rFonts w:cstheme="minorHAnsi"/>
        </w:rPr>
      </w:pPr>
    </w:p>
    <w:p w:rsidR="00507FBF" w:rsidRPr="006E406A" w:rsidRDefault="00507FBF" w:rsidP="00507FBF">
      <w:pPr>
        <w:shd w:val="clear" w:color="auto" w:fill="055797"/>
        <w:spacing w:after="0" w:line="240" w:lineRule="auto"/>
        <w:jc w:val="right"/>
        <w:rPr>
          <w:rFonts w:ascii="Arial" w:eastAsia="Times New Roman" w:hAnsi="Arial" w:cs="Arial"/>
          <w:b/>
          <w:bCs/>
          <w:color w:val="FFFFFF"/>
          <w:sz w:val="24"/>
          <w:szCs w:val="24"/>
        </w:rPr>
      </w:pPr>
      <w:proofErr w:type="spellStart"/>
      <w:r w:rsidRPr="006E406A">
        <w:rPr>
          <w:rFonts w:ascii="Arial" w:eastAsia="Times New Roman" w:hAnsi="Arial" w:cs="Arial"/>
          <w:b/>
          <w:bCs/>
          <w:color w:val="FFFFFF"/>
          <w:sz w:val="24"/>
          <w:szCs w:val="24"/>
        </w:rPr>
        <w:t>Управа</w:t>
      </w:r>
      <w:proofErr w:type="spellEnd"/>
      <w:r w:rsidRPr="006E406A">
        <w:rPr>
          <w:rFonts w:ascii="Arial" w:eastAsia="Times New Roman" w:hAnsi="Arial" w:cs="Arial"/>
          <w:b/>
          <w:bCs/>
          <w:color w:val="FFFFFF"/>
          <w:sz w:val="24"/>
          <w:szCs w:val="24"/>
        </w:rPr>
        <w:t xml:space="preserve"> </w:t>
      </w:r>
      <w:proofErr w:type="spellStart"/>
      <w:r w:rsidRPr="006E406A">
        <w:rPr>
          <w:rFonts w:ascii="Arial" w:eastAsia="Times New Roman" w:hAnsi="Arial" w:cs="Arial"/>
          <w:b/>
          <w:bCs/>
          <w:color w:val="FFFFFF"/>
          <w:sz w:val="24"/>
          <w:szCs w:val="24"/>
        </w:rPr>
        <w:t>царина</w:t>
      </w:r>
      <w:proofErr w:type="spellEnd"/>
      <w:r w:rsidRPr="006E406A">
        <w:rPr>
          <w:rFonts w:ascii="Arial" w:eastAsia="Times New Roman" w:hAnsi="Arial" w:cs="Arial"/>
          <w:b/>
          <w:bCs/>
          <w:color w:val="FFFFFF"/>
          <w:sz w:val="24"/>
          <w:szCs w:val="24"/>
        </w:rPr>
        <w:t xml:space="preserve"> </w:t>
      </w:r>
      <w:proofErr w:type="spellStart"/>
      <w:r w:rsidRPr="006E406A">
        <w:rPr>
          <w:rFonts w:ascii="Arial" w:eastAsia="Times New Roman" w:hAnsi="Arial" w:cs="Arial"/>
          <w:b/>
          <w:bCs/>
          <w:color w:val="FFFFFF"/>
          <w:sz w:val="24"/>
          <w:szCs w:val="24"/>
        </w:rPr>
        <w:t>Републике</w:t>
      </w:r>
      <w:proofErr w:type="spellEnd"/>
      <w:r w:rsidRPr="006E406A">
        <w:rPr>
          <w:rFonts w:ascii="Arial" w:eastAsia="Times New Roman" w:hAnsi="Arial" w:cs="Arial"/>
          <w:b/>
          <w:bCs/>
          <w:color w:val="FFFFFF"/>
          <w:sz w:val="24"/>
          <w:szCs w:val="24"/>
        </w:rPr>
        <w:t xml:space="preserve"> </w:t>
      </w:r>
      <w:proofErr w:type="spellStart"/>
      <w:r w:rsidRPr="006E406A">
        <w:rPr>
          <w:rFonts w:ascii="Arial" w:eastAsia="Times New Roman" w:hAnsi="Arial" w:cs="Arial"/>
          <w:b/>
          <w:bCs/>
          <w:color w:val="FFFFFF"/>
          <w:sz w:val="24"/>
          <w:szCs w:val="24"/>
        </w:rPr>
        <w:t>Србије</w:t>
      </w:r>
      <w:proofErr w:type="spellEnd"/>
    </w:p>
    <w:p w:rsidR="00507FBF" w:rsidRDefault="00507FBF" w:rsidP="00507FBF">
      <w:pPr>
        <w:shd w:val="clear" w:color="auto" w:fill="055797"/>
        <w:spacing w:line="240" w:lineRule="auto"/>
        <w:jc w:val="right"/>
        <w:rPr>
          <w:rFonts w:ascii="Arial" w:eastAsia="Times New Roman" w:hAnsi="Arial" w:cs="Arial"/>
          <w:color w:val="FFFFFF"/>
          <w:sz w:val="21"/>
          <w:szCs w:val="21"/>
        </w:rPr>
      </w:pPr>
      <w:proofErr w:type="spellStart"/>
      <w:r w:rsidRPr="006E406A">
        <w:rPr>
          <w:rFonts w:ascii="Arial" w:eastAsia="Times New Roman" w:hAnsi="Arial" w:cs="Arial"/>
          <w:color w:val="FFFFFF"/>
          <w:sz w:val="21"/>
          <w:szCs w:val="21"/>
        </w:rPr>
        <w:t>Министарство</w:t>
      </w:r>
      <w:proofErr w:type="spellEnd"/>
      <w:r w:rsidRPr="006E406A">
        <w:rPr>
          <w:rFonts w:ascii="Arial" w:eastAsia="Times New Roman" w:hAnsi="Arial" w:cs="Arial"/>
          <w:color w:val="FFFFFF"/>
          <w:sz w:val="21"/>
          <w:szCs w:val="21"/>
        </w:rPr>
        <w:t xml:space="preserve"> </w:t>
      </w:r>
      <w:proofErr w:type="spellStart"/>
      <w:r w:rsidRPr="006E406A">
        <w:rPr>
          <w:rFonts w:ascii="Arial" w:eastAsia="Times New Roman" w:hAnsi="Arial" w:cs="Arial"/>
          <w:color w:val="FFFFFF"/>
          <w:sz w:val="21"/>
          <w:szCs w:val="21"/>
        </w:rPr>
        <w:t>финансија</w:t>
      </w:r>
      <w:proofErr w:type="spellEnd"/>
    </w:p>
    <w:p w:rsidR="0058451F" w:rsidRPr="0058451F" w:rsidRDefault="0058451F" w:rsidP="00507FBF">
      <w:pPr>
        <w:shd w:val="clear" w:color="auto" w:fill="FFFFFF"/>
        <w:spacing w:before="450" w:after="300" w:line="240" w:lineRule="auto"/>
        <w:jc w:val="right"/>
        <w:outlineLvl w:val="3"/>
        <w:rPr>
          <w:rFonts w:ascii="Arial" w:eastAsia="Times New Roman" w:hAnsi="Arial" w:cs="Arial"/>
          <w:b/>
          <w:bCs/>
          <w:color w:val="505A65"/>
          <w:sz w:val="28"/>
          <w:szCs w:val="28"/>
          <w:lang w:val="sr-Cyrl-RS"/>
        </w:rPr>
      </w:pPr>
      <w:r>
        <w:rPr>
          <w:rFonts w:ascii="Arial" w:eastAsia="Times New Roman" w:hAnsi="Arial" w:cs="Arial"/>
          <w:b/>
          <w:bCs/>
          <w:color w:val="505A65"/>
          <w:sz w:val="28"/>
          <w:szCs w:val="28"/>
          <w:lang w:val="sr-Cyrl-RS"/>
        </w:rPr>
        <w:t xml:space="preserve">                                                              </w:t>
      </w:r>
      <w:r>
        <w:rPr>
          <w:noProof/>
          <w:color w:val="1F497D"/>
        </w:rPr>
        <w:drawing>
          <wp:inline distT="0" distB="0" distL="0" distR="0">
            <wp:extent cx="952500" cy="1019175"/>
            <wp:effectExtent l="0" t="0" r="0" b="9525"/>
            <wp:docPr id="3" name="Picture 3" descr="cid:image001.png@01D87BDE.B8DB5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7BDE.B8DB5E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inline>
        </w:drawing>
      </w:r>
    </w:p>
    <w:p w:rsidR="003E02DE" w:rsidRDefault="0029678F"/>
    <w:sectPr w:rsidR="003E02D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1F"/>
    <w:rsid w:val="0029678F"/>
    <w:rsid w:val="003B667E"/>
    <w:rsid w:val="00507FBF"/>
    <w:rsid w:val="0058451F"/>
    <w:rsid w:val="006F0432"/>
    <w:rsid w:val="009240DF"/>
    <w:rsid w:val="009B09BB"/>
    <w:rsid w:val="00A1341B"/>
    <w:rsid w:val="00B8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EBCF"/>
  <w15:chartTrackingRefBased/>
  <w15:docId w15:val="{EDBAE29A-3AE6-40D7-940A-C18A98EE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7FBF"/>
    <w:rPr>
      <w:sz w:val="16"/>
      <w:szCs w:val="16"/>
    </w:rPr>
  </w:style>
  <w:style w:type="paragraph" w:styleId="CommentText">
    <w:name w:val="annotation text"/>
    <w:basedOn w:val="Normal"/>
    <w:link w:val="CommentTextChar"/>
    <w:uiPriority w:val="99"/>
    <w:semiHidden/>
    <w:unhideWhenUsed/>
    <w:rsid w:val="00507FBF"/>
    <w:pPr>
      <w:spacing w:line="240" w:lineRule="auto"/>
    </w:pPr>
    <w:rPr>
      <w:sz w:val="20"/>
      <w:szCs w:val="20"/>
    </w:rPr>
  </w:style>
  <w:style w:type="character" w:customStyle="1" w:styleId="CommentTextChar">
    <w:name w:val="Comment Text Char"/>
    <w:basedOn w:val="DefaultParagraphFont"/>
    <w:link w:val="CommentText"/>
    <w:uiPriority w:val="99"/>
    <w:semiHidden/>
    <w:rsid w:val="00507FBF"/>
    <w:rPr>
      <w:sz w:val="20"/>
      <w:szCs w:val="20"/>
    </w:rPr>
  </w:style>
  <w:style w:type="paragraph" w:styleId="BalloonText">
    <w:name w:val="Balloon Text"/>
    <w:basedOn w:val="Normal"/>
    <w:link w:val="BalloonTextChar"/>
    <w:uiPriority w:val="99"/>
    <w:semiHidden/>
    <w:unhideWhenUsed/>
    <w:rsid w:val="0050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240DF"/>
    <w:rPr>
      <w:b/>
      <w:bCs/>
    </w:rPr>
  </w:style>
  <w:style w:type="character" w:customStyle="1" w:styleId="CommentSubjectChar">
    <w:name w:val="Comment Subject Char"/>
    <w:basedOn w:val="CommentTextChar"/>
    <w:link w:val="CommentSubject"/>
    <w:uiPriority w:val="99"/>
    <w:semiHidden/>
    <w:rsid w:val="009240DF"/>
    <w:rPr>
      <w:b/>
      <w:bCs/>
      <w:sz w:val="20"/>
      <w:szCs w:val="20"/>
    </w:rPr>
  </w:style>
  <w:style w:type="character" w:styleId="Hyperlink">
    <w:name w:val="Hyperlink"/>
    <w:basedOn w:val="DefaultParagraphFont"/>
    <w:uiPriority w:val="99"/>
    <w:semiHidden/>
    <w:unhideWhenUsed/>
    <w:rsid w:val="00B83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png@01DA538A.A58DD9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Carinarnica Vršac</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Jelena Rašković</cp:lastModifiedBy>
  <cp:revision>2</cp:revision>
  <cp:lastPrinted>2024-02-06T11:46:00Z</cp:lastPrinted>
  <dcterms:created xsi:type="dcterms:W3CDTF">2024-02-23T12:52:00Z</dcterms:created>
  <dcterms:modified xsi:type="dcterms:W3CDTF">2024-02-23T12:52:00Z</dcterms:modified>
</cp:coreProperties>
</file>